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94" w:rsidRDefault="00AB4B94" w:rsidP="00AB4B94">
      <w:pPr>
        <w:bidi/>
        <w:spacing w:before="100" w:beforeAutospacing="1" w:after="100" w:afterAutospacing="1"/>
        <w:jc w:val="center"/>
        <w:rPr>
          <w:rFonts w:ascii="Calibri" w:hAnsi="Calibri" w:cs="Calibri"/>
          <w:sz w:val="22"/>
          <w:szCs w:val="22"/>
        </w:rPr>
      </w:pPr>
      <w:r>
        <w:rPr>
          <w:rFonts w:ascii="Simplified Arabic" w:hAnsi="Simplified Arabic" w:cs="Simplified Arabic"/>
          <w:b/>
          <w:bCs/>
          <w:sz w:val="32"/>
          <w:szCs w:val="32"/>
          <w:rtl/>
          <w:lang w:bidi="ar-LB"/>
        </w:rPr>
        <w:t>بيان مشترك من شركتي تاتش وألفا:</w:t>
      </w:r>
    </w:p>
    <w:p w:rsidR="00AB4B94" w:rsidRDefault="00AB4B94" w:rsidP="00AB4B94">
      <w:pPr>
        <w:bidi/>
        <w:spacing w:before="100" w:beforeAutospacing="1" w:after="100" w:afterAutospacing="1"/>
        <w:jc w:val="center"/>
        <w:rPr>
          <w:rFonts w:ascii="Calibri" w:hAnsi="Calibri" w:cs="Calibri"/>
          <w:sz w:val="22"/>
          <w:szCs w:val="22"/>
        </w:rPr>
      </w:pPr>
      <w:r>
        <w:rPr>
          <w:rFonts w:ascii="Simplified Arabic" w:hAnsi="Simplified Arabic" w:cs="Simplified Arabic"/>
          <w:b/>
          <w:bCs/>
          <w:sz w:val="32"/>
          <w:szCs w:val="32"/>
          <w:rtl/>
          <w:lang w:bidi="ar-LB"/>
        </w:rPr>
        <w:t>إقرار مرسوم تعديل</w:t>
      </w:r>
      <w:r w:rsidR="005A2E03">
        <w:rPr>
          <w:rFonts w:ascii="Simplified Arabic" w:hAnsi="Simplified Arabic" w:cs="Simplified Arabic" w:hint="cs"/>
          <w:b/>
          <w:bCs/>
          <w:sz w:val="32"/>
          <w:szCs w:val="32"/>
          <w:rtl/>
          <w:lang w:bidi="ar-LB"/>
        </w:rPr>
        <w:t xml:space="preserve"> أسعار</w:t>
      </w:r>
      <w:r>
        <w:rPr>
          <w:rFonts w:ascii="Simplified Arabic" w:hAnsi="Simplified Arabic" w:cs="Simplified Arabic"/>
          <w:b/>
          <w:bCs/>
          <w:sz w:val="32"/>
          <w:szCs w:val="32"/>
          <w:rtl/>
          <w:lang w:bidi="ar-LB"/>
        </w:rPr>
        <w:t xml:space="preserve"> الاتصالات الخلوية ضرورة ملحة لضمان استمرارية القطاع</w:t>
      </w:r>
    </w:p>
    <w:p w:rsidR="00AB4B94" w:rsidRDefault="00AB4B94" w:rsidP="00AB4B94">
      <w:pPr>
        <w:bidi/>
        <w:spacing w:before="100" w:beforeAutospacing="1" w:after="100" w:afterAutospacing="1"/>
        <w:rPr>
          <w:rFonts w:ascii="Calibri" w:hAnsi="Calibri" w:cs="Calibri"/>
          <w:sz w:val="22"/>
          <w:szCs w:val="22"/>
        </w:rPr>
      </w:pPr>
      <w:r>
        <w:rPr>
          <w:rFonts w:ascii="Simplified Arabic" w:hAnsi="Simplified Arabic" w:cs="Simplified Arabic"/>
          <w:b/>
          <w:bCs/>
          <w:sz w:val="28"/>
          <w:szCs w:val="28"/>
          <w:rtl/>
          <w:lang w:bidi="ar-LB"/>
        </w:rPr>
        <w:t> </w:t>
      </w:r>
    </w:p>
    <w:p w:rsidR="00AB4B94" w:rsidRDefault="00AB4B94" w:rsidP="00AB4B94">
      <w:pPr>
        <w:bidi/>
        <w:spacing w:before="100" w:beforeAutospacing="1" w:after="100" w:afterAutospacing="1"/>
        <w:rPr>
          <w:rFonts w:ascii="Calibri" w:hAnsi="Calibri" w:cs="Calibri"/>
          <w:sz w:val="22"/>
          <w:szCs w:val="22"/>
          <w:rtl/>
        </w:rPr>
      </w:pPr>
      <w:r>
        <w:rPr>
          <w:rFonts w:ascii="Simplified Arabic" w:hAnsi="Simplified Arabic" w:cs="Simplified Arabic"/>
          <w:b/>
          <w:bCs/>
          <w:sz w:val="28"/>
          <w:szCs w:val="28"/>
          <w:rtl/>
          <w:lang w:bidi="ar-LB"/>
        </w:rPr>
        <w:t> بيروت في 29 نيسان 2022:</w:t>
      </w:r>
      <w:r>
        <w:rPr>
          <w:rFonts w:ascii="Simplified Arabic" w:hAnsi="Simplified Arabic" w:cs="Simplified Arabic"/>
          <w:sz w:val="28"/>
          <w:szCs w:val="28"/>
          <w:rtl/>
          <w:lang w:bidi="ar-LB"/>
        </w:rPr>
        <w:t> </w:t>
      </w:r>
      <w:r>
        <w:rPr>
          <w:rFonts w:ascii="Simplified Arabic" w:hAnsi="Simplified Arabic" w:cs="Simplified Arabic"/>
          <w:sz w:val="28"/>
          <w:szCs w:val="28"/>
          <w:rtl/>
        </w:rPr>
        <w:t>أعلنت شركتا الاتصالات الخلوية تاتش وألفا أن إقرار مرسوم تعديل أسعار الاتصالات الخلوية بات حاجة ملحة وحتمية لتأمين استمرارية القطاع، وإلا سيكون مستقبل الشركتين والقطاع عموماً في خطر مجهول، مما سينعكس كذلك على مستقبل كل القطاعات العامة والخاصة بما فيها الاستشفاء والمصارف والمصانع والفنادق ومختلف الشركات كونها تعتمد في أنظمتها التشغيلية على قطاع الاتصالات.</w:t>
      </w:r>
    </w:p>
    <w:p w:rsidR="00AB4B94" w:rsidRDefault="00AB4B94" w:rsidP="00AB4B94">
      <w:pPr>
        <w:bidi/>
        <w:spacing w:before="100" w:beforeAutospacing="1" w:after="100" w:afterAutospacing="1"/>
        <w:rPr>
          <w:rFonts w:ascii="Calibri" w:hAnsi="Calibri" w:cs="Calibri"/>
          <w:sz w:val="22"/>
          <w:szCs w:val="22"/>
          <w:rtl/>
        </w:rPr>
      </w:pPr>
      <w:r>
        <w:rPr>
          <w:rFonts w:ascii="Simplified Arabic" w:hAnsi="Simplified Arabic" w:cs="Simplified Arabic"/>
          <w:sz w:val="28"/>
          <w:szCs w:val="28"/>
          <w:rtl/>
        </w:rPr>
        <w:t> </w:t>
      </w:r>
    </w:p>
    <w:p w:rsidR="00AB4B94" w:rsidRDefault="00AB4B94" w:rsidP="00AB4B94">
      <w:pPr>
        <w:bidi/>
        <w:spacing w:before="100" w:beforeAutospacing="1" w:after="100" w:afterAutospacing="1"/>
        <w:rPr>
          <w:rFonts w:ascii="Calibri" w:hAnsi="Calibri" w:cs="Calibri"/>
          <w:sz w:val="22"/>
          <w:szCs w:val="22"/>
          <w:rtl/>
        </w:rPr>
      </w:pPr>
      <w:r>
        <w:rPr>
          <w:rFonts w:ascii="Simplified Arabic" w:hAnsi="Simplified Arabic" w:cs="Simplified Arabic"/>
          <w:sz w:val="28"/>
          <w:szCs w:val="28"/>
          <w:rtl/>
        </w:rPr>
        <w:t xml:space="preserve">وبحسب أرقام الشركتين مجتمعة، تراجع مدخولهما السنوي من 1 مليار و400 مليون دولار أميركي في العام 2018 إلى 75 مليون دولار أميركي فقط حالياً حسب سعر الصرف في السوق السوداء، بسبب الأزمة الاقتصادية التي ألمّت بالبلد منذ العام 2019. في المقابل تمكنت الشركتان من </w:t>
      </w:r>
      <w:r>
        <w:rPr>
          <w:rFonts w:ascii="Simplified Arabic" w:hAnsi="Simplified Arabic" w:cs="Simplified Arabic"/>
          <w:color w:val="000000"/>
          <w:sz w:val="28"/>
          <w:szCs w:val="28"/>
          <w:rtl/>
          <w:lang w:bidi="ar-LB"/>
        </w:rPr>
        <w:t>تخفيض</w:t>
      </w:r>
      <w:r>
        <w:rPr>
          <w:rFonts w:ascii="Simplified Arabic" w:hAnsi="Simplified Arabic" w:cs="Simplified Arabic"/>
          <w:sz w:val="28"/>
          <w:szCs w:val="28"/>
          <w:rtl/>
        </w:rPr>
        <w:t xml:space="preserve"> المصاريف السنوية من 560 مليون دولا</w:t>
      </w:r>
      <w:r w:rsidR="00C04AF8">
        <w:rPr>
          <w:rFonts w:ascii="Simplified Arabic" w:hAnsi="Simplified Arabic" w:cs="Simplified Arabic"/>
          <w:sz w:val="28"/>
          <w:szCs w:val="28"/>
          <w:rtl/>
        </w:rPr>
        <w:t xml:space="preserve">ر أميركي في العام 2018 إلى </w:t>
      </w:r>
      <w:r w:rsidR="00C04AF8">
        <w:rPr>
          <w:rFonts w:ascii="Simplified Arabic" w:hAnsi="Simplified Arabic" w:cs="Simplified Arabic" w:hint="cs"/>
          <w:sz w:val="28"/>
          <w:szCs w:val="28"/>
          <w:rtl/>
        </w:rPr>
        <w:t>أقل من</w:t>
      </w:r>
      <w:bookmarkStart w:id="0" w:name="_GoBack"/>
      <w:bookmarkEnd w:id="0"/>
      <w:r>
        <w:rPr>
          <w:rFonts w:ascii="Simplified Arabic" w:hAnsi="Simplified Arabic" w:cs="Simplified Arabic"/>
          <w:sz w:val="28"/>
          <w:szCs w:val="28"/>
          <w:rtl/>
        </w:rPr>
        <w:t xml:space="preserve"> النصف، أي ما يقارب </w:t>
      </w:r>
      <w:r>
        <w:rPr>
          <w:rFonts w:ascii="Calibri" w:hAnsi="Calibri" w:cs="Calibri"/>
          <w:color w:val="000000"/>
          <w:sz w:val="28"/>
          <w:szCs w:val="28"/>
          <w:rtl/>
        </w:rPr>
        <w:t>٢٥٥</w:t>
      </w:r>
      <w:r>
        <w:rPr>
          <w:rFonts w:ascii="Simplified Arabic" w:hAnsi="Simplified Arabic" w:cs="Simplified Arabic"/>
          <w:sz w:val="28"/>
          <w:szCs w:val="28"/>
          <w:rtl/>
        </w:rPr>
        <w:t xml:space="preserve"> مليون دولار.</w:t>
      </w:r>
    </w:p>
    <w:p w:rsidR="00AB4B94" w:rsidRDefault="00AB4B94" w:rsidP="00AB4B94">
      <w:pPr>
        <w:bidi/>
        <w:spacing w:before="100" w:beforeAutospacing="1" w:after="100" w:afterAutospacing="1"/>
        <w:rPr>
          <w:rFonts w:ascii="Calibri" w:hAnsi="Calibri" w:cs="Calibri"/>
          <w:sz w:val="22"/>
          <w:szCs w:val="22"/>
          <w:rtl/>
        </w:rPr>
      </w:pPr>
      <w:r>
        <w:rPr>
          <w:rFonts w:ascii="Simplified Arabic" w:hAnsi="Simplified Arabic" w:cs="Simplified Arabic"/>
          <w:sz w:val="28"/>
          <w:szCs w:val="28"/>
          <w:rtl/>
        </w:rPr>
        <w:t> </w:t>
      </w:r>
    </w:p>
    <w:p w:rsidR="00AB4B94" w:rsidRDefault="00AB4B94" w:rsidP="005A2E03">
      <w:pPr>
        <w:bidi/>
        <w:spacing w:before="100" w:beforeAutospacing="1" w:after="100" w:afterAutospacing="1"/>
        <w:rPr>
          <w:rFonts w:ascii="Calibri" w:hAnsi="Calibri" w:cs="Calibri"/>
          <w:sz w:val="22"/>
          <w:szCs w:val="22"/>
          <w:rtl/>
        </w:rPr>
      </w:pPr>
      <w:r>
        <w:rPr>
          <w:rFonts w:ascii="Simplified Arabic" w:hAnsi="Simplified Arabic" w:cs="Simplified Arabic"/>
          <w:sz w:val="28"/>
          <w:szCs w:val="28"/>
          <w:rtl/>
        </w:rPr>
        <w:t>إلا أن هذه المصاريف</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أضف إليها مستحقات الموردين المتوجبة على مدى ثلاث سنوات </w:t>
      </w:r>
      <w:r w:rsidR="005A2E03">
        <w:rPr>
          <w:rFonts w:ascii="Simplified Arabic" w:hAnsi="Simplified Arabic" w:cs="Simplified Arabic" w:hint="cs"/>
          <w:sz w:val="28"/>
          <w:szCs w:val="28"/>
          <w:rtl/>
        </w:rPr>
        <w:t>وقيمتها</w:t>
      </w:r>
      <w:r>
        <w:rPr>
          <w:rFonts w:ascii="Simplified Arabic" w:hAnsi="Simplified Arabic" w:cs="Simplified Arabic"/>
          <w:sz w:val="28"/>
          <w:szCs w:val="28"/>
          <w:rtl/>
        </w:rPr>
        <w:t xml:space="preserve"> 40 مليون دولار أميركي سنوياً، أي ما يعادل 295 مليون دولار أميركي، </w:t>
      </w:r>
      <w:r>
        <w:rPr>
          <w:rFonts w:ascii="Simplified Arabic" w:hAnsi="Simplified Arabic" w:cs="Simplified Arabic" w:hint="cs"/>
          <w:sz w:val="28"/>
          <w:szCs w:val="28"/>
          <w:rtl/>
        </w:rPr>
        <w:t>توازي</w:t>
      </w:r>
      <w:r>
        <w:rPr>
          <w:rFonts w:ascii="Simplified Arabic" w:hAnsi="Simplified Arabic" w:cs="Simplified Arabic"/>
          <w:sz w:val="28"/>
          <w:szCs w:val="28"/>
          <w:rtl/>
        </w:rPr>
        <w:t xml:space="preserve"> </w:t>
      </w:r>
      <w:r w:rsidR="005A2E03">
        <w:rPr>
          <w:rFonts w:ascii="Simplified Arabic" w:hAnsi="Simplified Arabic" w:cs="Simplified Arabic" w:hint="cs"/>
          <w:sz w:val="28"/>
          <w:szCs w:val="28"/>
          <w:rtl/>
        </w:rPr>
        <w:t xml:space="preserve">أربعة أضعاف </w:t>
      </w:r>
      <w:r>
        <w:rPr>
          <w:rFonts w:ascii="Simplified Arabic" w:hAnsi="Simplified Arabic" w:cs="Simplified Arabic"/>
          <w:sz w:val="28"/>
          <w:szCs w:val="28"/>
          <w:rtl/>
        </w:rPr>
        <w:t xml:space="preserve">المداخيل </w:t>
      </w:r>
      <w:r w:rsidR="005A2E03">
        <w:rPr>
          <w:rFonts w:ascii="Simplified Arabic" w:hAnsi="Simplified Arabic" w:cs="Simplified Arabic" w:hint="cs"/>
          <w:sz w:val="28"/>
          <w:szCs w:val="28"/>
          <w:rtl/>
        </w:rPr>
        <w:t xml:space="preserve">التي </w:t>
      </w:r>
      <w:r>
        <w:rPr>
          <w:rFonts w:ascii="Simplified Arabic" w:hAnsi="Simplified Arabic" w:cs="Simplified Arabic"/>
          <w:sz w:val="28"/>
          <w:szCs w:val="28"/>
          <w:rtl/>
        </w:rPr>
        <w:t>لا تتعدى</w:t>
      </w:r>
      <w:r w:rsidR="005A2E03">
        <w:rPr>
          <w:rFonts w:ascii="Simplified Arabic" w:hAnsi="Simplified Arabic" w:cs="Simplified Arabic" w:hint="cs"/>
          <w:sz w:val="28"/>
          <w:szCs w:val="28"/>
          <w:rtl/>
        </w:rPr>
        <w:t xml:space="preserve"> حالياً</w:t>
      </w:r>
      <w:r>
        <w:rPr>
          <w:rFonts w:ascii="Simplified Arabic" w:hAnsi="Simplified Arabic" w:cs="Simplified Arabic"/>
          <w:sz w:val="28"/>
          <w:szCs w:val="28"/>
          <w:rtl/>
        </w:rPr>
        <w:t xml:space="preserve"> 75 مليون دولار أميركي في السنة، مما يحتّم ضرورة إقرار مرسوم تعديل أسعار الاتصالات الخلوية بأسرع وقت ممكن للجم هذا التدهور في المداخيل والتمكن من المحافظة على ديمومة قطاع الاتصالات الخلوية.</w:t>
      </w:r>
    </w:p>
    <w:p w:rsidR="00AB4B94" w:rsidRDefault="00AB4B94" w:rsidP="00AB4B94">
      <w:pPr>
        <w:bidi/>
        <w:spacing w:before="100" w:beforeAutospacing="1" w:after="100" w:afterAutospacing="1"/>
        <w:rPr>
          <w:rFonts w:ascii="Calibri" w:hAnsi="Calibri" w:cs="Calibri"/>
          <w:sz w:val="22"/>
          <w:szCs w:val="22"/>
          <w:rtl/>
        </w:rPr>
      </w:pPr>
      <w:r>
        <w:rPr>
          <w:rFonts w:ascii="Simplified Arabic" w:hAnsi="Simplified Arabic" w:cs="Simplified Arabic"/>
          <w:sz w:val="28"/>
          <w:szCs w:val="28"/>
          <w:rtl/>
        </w:rPr>
        <w:t> </w:t>
      </w:r>
    </w:p>
    <w:p w:rsidR="002D34CC" w:rsidRPr="00AB4B94" w:rsidRDefault="002D34CC">
      <w:pPr>
        <w:rPr>
          <w:rtl/>
          <w:lang w:val="fr-FR" w:bidi="ar-LB"/>
        </w:rPr>
      </w:pPr>
    </w:p>
    <w:sectPr w:rsidR="002D34CC" w:rsidRPr="00AB4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94"/>
    <w:rsid w:val="001F609F"/>
    <w:rsid w:val="002D34CC"/>
    <w:rsid w:val="005A2E03"/>
    <w:rsid w:val="00AB4B94"/>
    <w:rsid w:val="00C0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F8F2"/>
  <w15:chartTrackingRefBased/>
  <w15:docId w15:val="{53205547-9329-45D8-A9B2-B879CB7A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Barakat</dc:creator>
  <cp:keywords/>
  <dc:description/>
  <cp:lastModifiedBy>Ghada Barakat</cp:lastModifiedBy>
  <cp:revision>4</cp:revision>
  <dcterms:created xsi:type="dcterms:W3CDTF">2022-04-29T13:43:00Z</dcterms:created>
  <dcterms:modified xsi:type="dcterms:W3CDTF">2022-04-29T14:39:00Z</dcterms:modified>
</cp:coreProperties>
</file>